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OSNOVNA ŠKOLA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Ante Starčevića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44400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ŠKOLSKI PREVENTIVNI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šk.god. 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./202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Voditelj  ŠPP: Michaela Grmuša Muža, prof.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PROCJENA STANJA I POTREBA: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Školski preventivni program  za školsku godinu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nastao je procjenom stanja  razrednika, učitelja i stručnih suradnika. Obuhvaća više područja preventivnog djelovanja u skladu s karakteristikama dobi učenika. Sadržaji preventivnog programa integrirani su u redovitu nastavu, satove razrednog odjela, izvannastavne i izvanškolske aktivnosti, stručno usavršavanje učitelja, kao i dodatno osmišljene programe i projekte. Na taj način je cjelokupni školski rad u funkciji prevencijskog djelovanja.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Procjena potreba preventivnog djelovanja utvrđena je temeljem školske dokumentacije (zapisnici s razrednih vijeća, evidencije pedagoških mjera, praćenje ponašanja učenika i ocjene iz vladanja, provedena istraživanja i rezultati evaluacija provedenih projekata/programa u školi).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Socijalne, komunikacijske, emocionalne i akademske vještine važni su zaštitni čimbenici koji doprinose prevenciji školskog neuspjeha, prevenciji ovisnosti, nasilja i drugih rizičnih oblika ponašanja. Stoga smo preventivne aktivnosti, programe i projekte usmjerili na razvoj osobne kompetentnosti učenika i na razvoj životnih vještina (socijalne vještine,komunikacijske vještine, vještine rješavanja problema u odnosima, akademske vještine, vještine odlučivanja i postavljanja ciljeva, nošenja s osjećajima,…). Jačanjem ovih vještina podržavamo  zdrav razvoj učenika, odnosno, pomažemo  im  da prihvate sebe, nauče skrbiti o svom mentalnom i tjelesnom zdravlju, preuzmu odgovornost za vlastita ponašanja i nauče kako </w:t>
      </w:r>
      <w:r w:rsidDel="00000000" w:rsidR="00000000" w:rsidRPr="00000000">
        <w:rPr>
          <w:sz w:val="24"/>
          <w:szCs w:val="24"/>
          <w:rtl w:val="0"/>
        </w:rPr>
        <w:t xml:space="preserve">odabrati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zdrave stilove življenja.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Osim za učenike, planirane su i preventivne aktivnosti i programi namijenjeni roditeljima i učiteljima. Određene preventivne sadržaje ostvarujemo u suradnji s vanjskim suradnicima.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Podaci o prisutnosti različitih oblika problema u ponašanju i odrastanju  djece osnova su za planiranje naših preventivnih strategija, a pri njihovu planiranju imamo na umu </w:t>
      </w:r>
      <w:r w:rsidDel="00000000" w:rsidR="00000000" w:rsidRPr="00000000">
        <w:rPr>
          <w:sz w:val="24"/>
          <w:szCs w:val="24"/>
          <w:rtl w:val="0"/>
        </w:rPr>
        <w:t xml:space="preserve">sljedeće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broj obitelji, odnosno djece koja žive u siromaštvu,  stope razvoda braka,  broj djece koja žive s jednim roditeljem,  broj djece koji su zanemareni i zlostavljani, zlouporaba droga/alkohola , seksualna aktivnost prije 14. godine, nezaštićeni seksualni odnosi, nasilje u zajednici,  vršnjačko nasilje,  nasilje u obitelji,  vandalizam u zajednici i školi ,samoozljeđivanje, suicidi djece i mladih.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Provođenje preventivnih programa za godinu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planiran je Godišnjim planom i programom rada škole, Školskim kurikulumom, programima rada razrednika i lokalne zajednice.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Tematski smo ih  podijelili u programe: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zaštite zdravlja učenika,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programe prevencije ovisnosti 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programe prevencije nasilja,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 prevencije školskog neuspjeha. 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Programi se provode u sklopu redovne nastave, sata razrednika, školskih ili razrednih projekata, predavanja i drugih aktivnosti koje organizira školska ustanova i lokalna zajednica.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Programi prevencije ovisnosti u mjesecu borbe protiv ovisnosti (studeni-prosinac) radit će se  kroz radionice i projekte u kojem će  učenici  sedmih i osmih razreda aktivno sudjelovati na predavanjima na temu sredstava ovisnosti i posljedicama njihova konzumiranja na pojedinca i društvenu zajednicu. 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Budući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nemamo podatke na razini škole o pojavnosti nasilja u školi u sklopu Programa prevencije nasilja  ove godine provest ćemo anketu i održati  radionice za sve učenike čiji je cilj raspraviti  o osobnim sigurnosnim pravima, vrstama napada i efikasnim strategijama za snalaženjem u mnogim potencijalno opasnim situacijama.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Selektivne programe prevencije usmjerene na pojedince, skupine ili razrede sa </w:t>
      </w:r>
      <w:r w:rsidDel="00000000" w:rsidR="00000000" w:rsidRPr="00000000">
        <w:rPr>
          <w:sz w:val="24"/>
          <w:szCs w:val="24"/>
          <w:rtl w:val="0"/>
        </w:rPr>
        <w:t xml:space="preserve">značajnim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problemima i ove godine provodit će se  u razredima  i skupinama u kojima će u međusobnim interakcijama dolaziti do fizičkog ili verbalnog nasilja. Cilj je senzibiliziranje razreda za potrebe pojedinca te učenja tolerancije i suživota u razredu. Aktivnosti će biti usmjerene i prema roditeljima kroz individualne razgovore, savjetovanja i roditeljske sastanke. 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 skladu sa zakonom radit će se i  program  prevencije školskog neuspjeha učenika.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CILJEVI PROGRAMA: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za učenike: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utemeljenje zdravog i odgovornog načina života djece koja će svoje potrebe znati zadovoljiti društveno prihvatljivim oblicima ponašanja,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educiranje o pojavi i štetnosti nasilničkog ponašanja i općenito neprihvatljivog  ponašanja mladih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ugradnja pozitivnih vrijednosti i stavova koji će i u budućnosti osigurati pozitivne društvene vrijednosti,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prevencija nepoželjnog ponašanja tj. prevencija bilo kojeg oblika nasilja i zlostavljanja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savjetovanje  i osvještavanje  o posljedicama  nasilnih djela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poticanje  na razmišljanje i usvajanje pozitivnih životnih vrijednosti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razvijanje osjećaja osobne vrijednosti kao osobne i društvene odgovornosti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promicanje fizičke, socijalne i duhovne dimenzije zdravlja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promicanje zdravih stilova života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razvijanje  pozitivne slike o sebi razvijajući samopoštovanje i samopouzdanje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učenje vještina donošenja odluka i rješavanja problema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učenje o osjećajima i njihovom izražavanju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razvijanje svih oblika socijalnih i komunikacijskih  vještina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kroz odgojno-obrazovni proces smanjiti broj djece i  mladih koji će započeti s iskušavanjem sredstava ovisnosti,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formiranje ispravnog stava prema sredstvima ovisnosti i upoznavanje sa štetnim posljedicama njihove zlouporabe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stjecanje vještine otpora pritiscima da se uzme droga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promicanje ljubavi prema zavičaju i domovini te čuvanje kulturne baštine kao  dijela nacionalno</w:t>
      </w:r>
      <w:r w:rsidDel="00000000" w:rsidR="00000000" w:rsidRPr="00000000">
        <w:rPr>
          <w:sz w:val="24"/>
          <w:szCs w:val="24"/>
          <w:rtl w:val="0"/>
        </w:rPr>
        <w:t xml:space="preserve">g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kulturnog identiteta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razvijanje ekološke svijesti i navika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promicanje snošljivosti i poštivanje različitosti</w:t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za roditelje: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stjecanje znanja kako pomoći djeci da ostanu zdravi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unapređenje neophodnih vještina za kvalitetno roditeljstvo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primjena naučenih vještina sa svojom djecom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vrednovanje značaja obiteljskog okruženja kao značajnog čimbenika u prevenciji ovisnosti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vrednovanje značaja zdravog stila življenja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utvrditi prihvatljive i neprihvatljive oblike ponašanja i njihove posljedice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obavijestiti roditelje na roditeljskim sastancima o problemu vršnjačkog nasilja kako bi o tome mogli razgovarati sa svojom djecom i mogli prepoznati znakove viktimizacije na djetetu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za učitelje: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educiranje i usavršavanje u vidu raznih radionica, stručnih aktiva, stručnih predavanja te savjetovanja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unapređivati vještinu poučavanja djece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vrednovati značaj školskog okruženja kao značajnog čimbenika u prevenciji ovisnosti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primjenjivati u praksi  zdrav stil življenja i dobru  praksu komunikacije.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 izradi Školskog preventivnog programa držali smo se i preporuka Strategije prema kojima „obzirom na mnogobrojne čimbenike koji utječu na konzumiranje droga i pojavu ovisnosti kod mladih, programi prevencije ovisnosti i rada s djecom i mladima trebaju biti usmjereni u pravcima koji će razvijati svestranije njihove interese, kreativnost i sposobnosti, te im stvoriti mogućnost da se razviju u osobu koja će uspješno obnašati sve svoje životne uloge.“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RAD S UČENICIMA</w:t>
      </w:r>
      <w:r w:rsidDel="00000000" w:rsidR="00000000" w:rsidRPr="00000000">
        <w:rPr>
          <w:rtl w:val="0"/>
        </w:rPr>
      </w:r>
    </w:p>
    <w:tbl>
      <w:tblPr>
        <w:tblStyle w:val="Table1"/>
        <w:tblW w:w="14541.999999999998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7144"/>
        <w:gridCol w:w="2672"/>
        <w:gridCol w:w="1026"/>
        <w:gridCol w:w="1028"/>
        <w:gridCol w:w="1234"/>
        <w:gridCol w:w="1438"/>
        <w:tblGridChange w:id="0">
          <w:tblGrid>
            <w:gridCol w:w="7144"/>
            <w:gridCol w:w="2672"/>
            <w:gridCol w:w="1026"/>
            <w:gridCol w:w="1028"/>
            <w:gridCol w:w="1234"/>
            <w:gridCol w:w="1438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gridSpan w:val="6"/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EVALUIRANI PROGRAMI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Naziv programa/aktivnosti kratak opis, ciljevi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Tko je proveo evaluaciju (rezultata ili učinka)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Rezultati evaluacije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Razred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Broj uč.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Voditelj, suradnici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vertAlign w:val="baseline"/>
                <w:rtl w:val="0"/>
              </w:rPr>
              <w:t xml:space="preserve">Planirani broj susreta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0.0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7152"/>
        <w:gridCol w:w="2675"/>
        <w:gridCol w:w="1028"/>
        <w:gridCol w:w="1029"/>
        <w:gridCol w:w="1235"/>
        <w:gridCol w:w="1441"/>
        <w:tblGridChange w:id="0">
          <w:tblGrid>
            <w:gridCol w:w="7152"/>
            <w:gridCol w:w="2675"/>
            <w:gridCol w:w="1028"/>
            <w:gridCol w:w="1029"/>
            <w:gridCol w:w="1235"/>
            <w:gridCol w:w="1441"/>
          </w:tblGrid>
        </w:tblGridChange>
      </w:tblGrid>
      <w:tr>
        <w:trPr>
          <w:cantSplit w:val="0"/>
          <w:trHeight w:val="451" w:hRule="atLeast"/>
          <w:tblHeader w:val="0"/>
        </w:trPr>
        <w:tc>
          <w:tcPr>
            <w:gridSpan w:val="6"/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AKTIVNOSTI/PROGRAMI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STRUČNIM MIŠLJENJEM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Naziv programa/aktivnosti kratak opis, ciljevi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Tko je dao stručno mišljenje /preporuku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Razred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Broj uč.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Voditelj, suradnici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Planirani broj susreta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„Zdrav za 5“ – prevencija štetnih posljedica konzumacije alkohola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 kaznenopravni aspekti zlouporabe alkohola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MUP RH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 PU SMŽ i djelatnici HZJZ SMŽ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Škola podrške SMŽ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UNICEF HRVATSKA, MZOM, AZOO, Forum za slobodu odgoja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Adela Kadrić Dobrenić, Michaela Grmuša Muža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Hod za obrazovanje djece Afrike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UNICEF HRVATSKA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SŠ Glina, Učitelji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OŠ Glina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Građanski odgoj i obrazovanje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MZOM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OŠ Glina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prema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planu SRO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Zdravstveni odgoj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MZOM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OŠ Glina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, školska medicina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prema planu SRO</w:t>
            </w:r>
          </w:p>
        </w:tc>
      </w:tr>
    </w:tbl>
    <w:p w:rsidR="00000000" w:rsidDel="00000000" w:rsidP="00000000" w:rsidRDefault="00000000" w:rsidRPr="00000000" w14:paraId="0000008D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03.000000000002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7174"/>
        <w:gridCol w:w="2683"/>
        <w:gridCol w:w="1031"/>
        <w:gridCol w:w="1032"/>
        <w:gridCol w:w="1239"/>
        <w:gridCol w:w="1444"/>
        <w:tblGridChange w:id="0">
          <w:tblGrid>
            <w:gridCol w:w="7174"/>
            <w:gridCol w:w="2683"/>
            <w:gridCol w:w="1031"/>
            <w:gridCol w:w="1032"/>
            <w:gridCol w:w="1239"/>
            <w:gridCol w:w="1444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6"/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OSTALE AKTIVNOSTI/PROGRAMI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Naziv programa/aktivnosti kratak opis, ciljevi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Autor/i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Razred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Broj uč.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Voditelj, suradnici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Planirani broj susreta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Policajac u zajednici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preventivna predavanja i radionice za učenike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Prometna pravila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prevencija prometnih nezgoda i učenje o prometnim pravilima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Manje oružja, manje oružja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prevencija uporabe svih vrsta oružja i pirotehničkih sredstava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– 2.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PP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Mjesec borbe protiv ovisnosti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OŠ Glina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Razrednici, stručna služba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Univerzalna sportska škola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HŠSS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 – 4.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 TZK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Priprema za krizne situacije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Crveni križ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Djelatnici CK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Nemoj mi se rugati - prevencija nasilja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417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              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Pomoć u učenju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-8.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Prema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interesu učenika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Prekini lanac - elektroničko nasilje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Ovisnost o medijima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digitalnim sadržajima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Preventivno vijeće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Grada Gline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Radionice mentalnog zdravlja i prevencije nasilja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Forum za slobodu odgoja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– 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417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Razrednici, stručni suradnici, vanjski suradnici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Bolje spriječiti nego liječiti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prevencija nasilja u obitelji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adolescentskim vezama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PU SMŽ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Stručna služba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ED">
      <w:pPr>
        <w:pStyle w:val="Heading4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RAD S RODITELJIMA</w:t>
      </w:r>
      <w:r w:rsidDel="00000000" w:rsidR="00000000" w:rsidRPr="00000000">
        <w:rPr>
          <w:rtl w:val="0"/>
        </w:rPr>
      </w:r>
    </w:p>
    <w:tbl>
      <w:tblPr>
        <w:tblStyle w:val="Table4"/>
        <w:tblW w:w="14634.0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5515"/>
        <w:gridCol w:w="3038"/>
        <w:gridCol w:w="3040"/>
        <w:gridCol w:w="3041"/>
        <w:tblGridChange w:id="0">
          <w:tblGrid>
            <w:gridCol w:w="5515"/>
            <w:gridCol w:w="3038"/>
            <w:gridCol w:w="3040"/>
            <w:gridCol w:w="3041"/>
          </w:tblGrid>
        </w:tblGridChange>
      </w:tblGrid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 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Sudionici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Broj susreta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1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Voditelj/suradnici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Individualno savjetovanje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Otvoreni 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 potrebi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Michaela Gmuša Muža, prof.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Školska medijacija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Učenici škole/roditelji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potrebi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Michaela Gmuša Muža, prof.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Adela Kadrić Dobrenić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Edukacija na roditeljskim sastancima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Predavanja školske liječnice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djelatnika Zavoda za javno zdravstvo SMŽ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Školska medicina I HZJZ SMŽ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Izazovi i rizici puberteta i adolescencije (razvoj,učenje,emocionalni problem I poremećaji,rizična ponašanja: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alkohol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,cigarete I droge,nasilje,rizična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spolna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ponašanja)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6.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7. razreda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Savjetovalište za djecu, adolescente i obitelj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Medijska pismenost: odgovoran pristup internetu i suvremenim medijima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6. I 7. razreda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Savjetovalište za djecu, adolescente I obitelj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Sudjelovanje u radu Vijeća roditelja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Policajac u zajednici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Preventivne aktivnosti na području Grada 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Članovi Vijeća roditelja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Djelatnici PP Glina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Sportski dan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Projektni dan sportom protiv ovisnosti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Vijeće roditelja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Djelatnici OŠ Glina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Savjetodavni rad s roditeljima djece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Roditelji učenika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prema zahtjevu i potrebi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stručna služba</w:t>
            </w:r>
          </w:p>
        </w:tc>
      </w:tr>
    </w:tbl>
    <w:p w:rsidR="00000000" w:rsidDel="00000000" w:rsidP="00000000" w:rsidRDefault="00000000" w:rsidRPr="00000000" w14:paraId="00000123">
      <w:pPr>
        <w:pStyle w:val="Heading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Style w:val="Heading4"/>
        <w:rPr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RAD S UČITELJIMA</w:t>
      </w:r>
      <w:r w:rsidDel="00000000" w:rsidR="00000000" w:rsidRPr="00000000">
        <w:rPr>
          <w:rtl w:val="0"/>
        </w:rPr>
      </w:r>
    </w:p>
    <w:tbl>
      <w:tblPr>
        <w:tblStyle w:val="Table5"/>
        <w:tblW w:w="14728.000000000002" w:type="dxa"/>
        <w:jc w:val="left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bacc6" w:space="0" w:sz="8" w:val="single"/>
          <w:insideV w:color="4bacc6" w:space="0" w:sz="8" w:val="single"/>
        </w:tblBorders>
        <w:tblLayout w:type="fixed"/>
        <w:tblLook w:val="0000"/>
      </w:tblPr>
      <w:tblGrid>
        <w:gridCol w:w="5739"/>
        <w:gridCol w:w="3638"/>
        <w:gridCol w:w="1712"/>
        <w:gridCol w:w="3639"/>
        <w:tblGridChange w:id="0">
          <w:tblGrid>
            <w:gridCol w:w="5739"/>
            <w:gridCol w:w="3638"/>
            <w:gridCol w:w="1712"/>
            <w:gridCol w:w="3639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Tema, opis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Sudionici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Broj susreta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Voditelj, suradnici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Individualno savjetovanje o postupanju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Otvoreni sat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Učitelji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 potrebi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Michaela Gmuša Muža, prof.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643" w:firstLine="0"/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Grupni rad, osnaživanje za rad na prevenciji problema u ponašanju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Stručno usavršavanju u kolektivu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teme iz područja preventivnih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Michaela Gmuša Muža, prof.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Vanjski suradnici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643" w:firstLine="0"/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4"/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Unapređenje kvalitete rada s učenicima s teškoćama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Stručno usavršavanju u kolektivu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ind w:left="64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teme iz područja rada s učenicima s teškoćama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Učitelji škole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shd w:fill="d2eaf1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Michaela Gmuša Muža, prof.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Vanjski suradnici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643" w:firstLine="0"/>
              <w:rPr>
                <w:rFonts w:ascii="Cambria" w:cs="Cambria" w:eastAsia="Cambria" w:hAnsi="Cambri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bacc6" w:space="0" w:sz="8" w:val="single"/>
              <w:left w:color="4bacc6" w:space="0" w:sz="8" w:val="single"/>
              <w:bottom w:color="4bacc6" w:space="0" w:sz="8" w:val="single"/>
              <w:right w:color="4bacc6" w:space="0" w:sz="8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mic Sans MS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 Narrow" w:cs="Arial Narrow" w:eastAsia="Arial Narrow" w:hAnsi="Arial Narro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1440"/>
    </w:pPr>
    <w:rPr>
      <w:rFonts w:ascii="Comic Sans MS" w:cs="Comic Sans MS" w:eastAsia="Comic Sans MS" w:hAnsi="Comic Sans MS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after="0" w:line="240" w:lineRule="auto"/>
      <w:jc w:val="center"/>
    </w:pPr>
    <w:rPr>
      <w:rFonts w:ascii="Comic Sans MS" w:cs="Comic Sans MS" w:eastAsia="Comic Sans MS" w:hAnsi="Comic Sans MS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spacing w:after="60" w:before="240" w:line="276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Comic Sans MS" w:cs="Arial Unicode MS" w:eastAsia="Arial Unicode MS" w:hAnsi="Comic Sans MS"/>
      <w:b w:val="1"/>
      <w:w w:val="100"/>
      <w:position w:val="-1"/>
      <w:szCs w:val="20"/>
      <w:effect w:val="none"/>
      <w:vertAlign w:val="baseline"/>
      <w:cs w:val="0"/>
      <w:em w:val="none"/>
      <w:lang w:eastAsia="hr-HR" w:val="en-AU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omic Sans MS" w:cs="Arial Unicode MS" w:eastAsia="Arial Unicode MS" w:hAnsi="Comic Sans MS"/>
      <w:b w:val="1"/>
      <w:w w:val="100"/>
      <w:position w:val="-1"/>
      <w:szCs w:val="20"/>
      <w:effect w:val="none"/>
      <w:vertAlign w:val="baseline"/>
      <w:cs w:val="0"/>
      <w:em w:val="none"/>
      <w:lang w:eastAsia="hr-HR" w:val="de-DE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1"/>
    <w:pPr>
      <w:suppressAutoHyphens w:val="1"/>
      <w:spacing w:after="0" w:line="240" w:lineRule="auto"/>
      <w:ind w:left="360" w:leftChars="-1" w:rightChars="0" w:firstLineChars="-1"/>
      <w:textDirection w:val="btLr"/>
      <w:textAlignment w:val="top"/>
      <w:outlineLvl w:val="0"/>
    </w:pPr>
    <w:rPr>
      <w:rFonts w:ascii="Comic Sans MS" w:cs="Times New Roman" w:eastAsia="Times New Roman" w:hAnsi="Comic Sans MS"/>
      <w:w w:val="100"/>
      <w:position w:val="-1"/>
      <w:sz w:val="24"/>
      <w:szCs w:val="20"/>
      <w:effect w:val="none"/>
      <w:vertAlign w:val="baseline"/>
      <w:cs w:val="0"/>
      <w:em w:val="none"/>
      <w:lang w:bidi="ar-SA" w:eastAsia="hr-HR" w:val="en-AU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Comic Sans MS" w:cs="Times New Roman" w:eastAsia="Times New Roman" w:hAnsi="Comic Sans MS"/>
      <w:w w:val="100"/>
      <w:position w:val="-1"/>
      <w:sz w:val="24"/>
      <w:szCs w:val="20"/>
      <w:effect w:val="none"/>
      <w:vertAlign w:val="baseline"/>
      <w:cs w:val="0"/>
      <w:em w:val="none"/>
      <w:lang w:eastAsia="hr-HR" w:val="en-AU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IntenseQuote">
    <w:name w:val="Intense Quote"/>
    <w:basedOn w:val="Normal"/>
    <w:next w:val="Normal"/>
    <w:autoRedefine w:val="0"/>
    <w:hidden w:val="0"/>
    <w:qFormat w:val="0"/>
    <w:pPr>
      <w:pBdr>
        <w:bottom w:color="4f81bd" w:space="4" w:sz="4" w:val="single"/>
      </w:pBdr>
      <w:suppressAutoHyphens w:val="1"/>
      <w:spacing w:after="280" w:before="200" w:line="240" w:lineRule="auto"/>
      <w:ind w:left="936" w:right="936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character" w:styleId="IntenseQuoteChar">
    <w:name w:val="Intense Quote Char"/>
    <w:next w:val="IntenseQuote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hr-HR" w:val="hr-HR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hr-HR"/>
    </w:rPr>
  </w:style>
  <w:style w:type="table" w:styleId="LightGrid-Accent5">
    <w:name w:val="Light Grid - Accent 5"/>
    <w:basedOn w:val="TableNormal"/>
    <w:next w:val="LightGrid-Accent5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LightGrid-Accent5"/>
      <w:tblStyleRowBandSize w:val="1"/>
      <w:tblStyleColBandSize w:val="1"/>
      <w:jc w:val="left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</w:style>
  <w:style w:type="character" w:styleId="Heading4Char">
    <w:name w:val="Heading 4 Char"/>
    <w:next w:val="Heading4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 w:val="hr-HR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zApTGe36q/PjA+//KVLUC5WcQ==">CgMxLjA4AHIhMVoxZlBwdEFCSlR3Q2JLLU1rTWZjd2JfajNkdkw0VVpp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2021-09-27T09:31:00Z</dcterms:created>
  <dc:creator>arbrandic</dc:creator>
</cp:coreProperties>
</file>